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A2" w:rsidRPr="009D4BA2" w:rsidRDefault="009D4BA2" w:rsidP="009D4BA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7302577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D4BA2" w:rsidRPr="009D4BA2" w:rsidRDefault="009D4BA2" w:rsidP="009D4BA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9D4BA2" w:rsidRPr="009D4BA2" w:rsidRDefault="009D4BA2" w:rsidP="009D4BA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9D4BA2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D4BA2" w:rsidRPr="009D4BA2" w:rsidRDefault="009D4BA2" w:rsidP="009D4BA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им. </w:t>
      </w:r>
      <w:proofErr w:type="spellStart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9D4BA2" w:rsidRPr="009D4BA2" w:rsidTr="009D4BA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МБОУ СШ№22 им. </w:t>
            </w:r>
            <w:proofErr w:type="spellStart"/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 29 » 08   202</w:t>
            </w: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 1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«29»   08  202</w:t>
            </w: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BA2" w:rsidRPr="009D4BA2" w:rsidRDefault="009D4BA2" w:rsidP="009D4B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9D4BA2" w:rsidRPr="009D4BA2" w:rsidRDefault="009D4BA2" w:rsidP="009D4B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И.о.директора</w:t>
            </w:r>
            <w:proofErr w:type="spellEnd"/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9D4BA2" w:rsidRPr="009D4BA2" w:rsidRDefault="009D4BA2" w:rsidP="009D4B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9D4BA2" w:rsidRPr="009D4BA2" w:rsidRDefault="009D4BA2" w:rsidP="009D4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30.08.202</w:t>
            </w:r>
            <w:r w:rsidRPr="009D4BA2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9D4BA2" w:rsidRPr="009D4BA2" w:rsidRDefault="009D4BA2" w:rsidP="009D4BA2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5F3550" w:rsidRPr="009D4BA2" w:rsidRDefault="005F3550">
      <w:pPr>
        <w:spacing w:after="0"/>
        <w:ind w:left="120"/>
      </w:pPr>
    </w:p>
    <w:p w:rsidR="005F3550" w:rsidRPr="009D4BA2" w:rsidRDefault="005F3550">
      <w:pPr>
        <w:spacing w:after="0"/>
        <w:ind w:left="120"/>
      </w:pPr>
    </w:p>
    <w:p w:rsidR="005F3550" w:rsidRPr="009D4BA2" w:rsidRDefault="005F3550">
      <w:pPr>
        <w:spacing w:after="0"/>
        <w:ind w:left="120"/>
      </w:pPr>
    </w:p>
    <w:p w:rsidR="005F3550" w:rsidRPr="009D4BA2" w:rsidRDefault="009D4BA2">
      <w:pPr>
        <w:spacing w:after="0" w:line="408" w:lineRule="auto"/>
        <w:ind w:left="120"/>
        <w:jc w:val="center"/>
      </w:pPr>
      <w:r w:rsidRPr="009D4B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3550" w:rsidRPr="009D4BA2" w:rsidRDefault="009D4BA2">
      <w:pPr>
        <w:spacing w:after="0" w:line="408" w:lineRule="auto"/>
        <w:ind w:left="120"/>
        <w:jc w:val="center"/>
      </w:pPr>
      <w:r w:rsidRPr="009D4B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BA2">
        <w:rPr>
          <w:rFonts w:ascii="Times New Roman" w:hAnsi="Times New Roman"/>
          <w:color w:val="000000"/>
          <w:sz w:val="28"/>
        </w:rPr>
        <w:t xml:space="preserve"> 6236389)</w:t>
      </w:r>
    </w:p>
    <w:p w:rsidR="005F3550" w:rsidRPr="009D4BA2" w:rsidRDefault="005F3550">
      <w:pPr>
        <w:spacing w:after="0"/>
        <w:ind w:left="120"/>
        <w:jc w:val="center"/>
      </w:pPr>
    </w:p>
    <w:p w:rsidR="005F3550" w:rsidRPr="009D4BA2" w:rsidRDefault="009D4BA2">
      <w:pPr>
        <w:spacing w:after="0" w:line="408" w:lineRule="auto"/>
        <w:ind w:left="120"/>
        <w:jc w:val="center"/>
      </w:pPr>
      <w:r w:rsidRPr="009D4BA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5F3550" w:rsidRPr="009D4BA2" w:rsidRDefault="009D4BA2">
      <w:pPr>
        <w:spacing w:after="0" w:line="408" w:lineRule="auto"/>
        <w:ind w:left="120"/>
        <w:jc w:val="center"/>
      </w:pPr>
      <w:r w:rsidRPr="009D4BA2"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9D4BA2" w:rsidRPr="009D4BA2" w:rsidRDefault="009D4BA2" w:rsidP="009D4BA2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9D4BA2">
        <w:rPr>
          <w:rFonts w:ascii="Times New Roman" w:eastAsia="Times New Roman" w:hAnsi="Times New Roman" w:cs="Times New Roman"/>
          <w:b/>
          <w:sz w:val="28"/>
          <w:szCs w:val="28"/>
        </w:rPr>
        <w:t>Уровень  общего образования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О</w:t>
      </w:r>
      <w:r w:rsidRPr="009D4BA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ОО  </w:t>
      </w:r>
    </w:p>
    <w:p w:rsidR="009D4BA2" w:rsidRPr="009D4BA2" w:rsidRDefault="009D4BA2" w:rsidP="009D4B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BA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D4BA2">
        <w:rPr>
          <w:rFonts w:ascii="Times New Roman" w:eastAsia="Calibri" w:hAnsi="Times New Roman" w:cs="Times New Roman"/>
          <w:b/>
          <w:sz w:val="24"/>
          <w:szCs w:val="24"/>
        </w:rPr>
        <w:t>УМЯРОВА ФАТЫМА РАХМАТУЛЛОВНА</w:t>
      </w:r>
    </w:p>
    <w:p w:rsidR="009D4BA2" w:rsidRPr="009D4BA2" w:rsidRDefault="009D4BA2" w:rsidP="009D4BA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4BA2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4B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2024-2025</w:t>
      </w:r>
      <w:r w:rsidRPr="009D4B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учебный  год</w:t>
      </w:r>
      <w:r w:rsidRPr="009D4B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                                                                                </w:t>
      </w:r>
    </w:p>
    <w:p w:rsidR="009D4BA2" w:rsidRPr="009D4BA2" w:rsidRDefault="009D4BA2" w:rsidP="009D4B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4BA2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68</w:t>
      </w:r>
      <w:r w:rsidRPr="009D4BA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ов</w:t>
      </w:r>
      <w:r w:rsidRPr="009D4B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(по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9D4B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часа в неделю)</w:t>
      </w:r>
    </w:p>
    <w:p w:rsidR="009D4BA2" w:rsidRPr="009D4BA2" w:rsidRDefault="009D4BA2" w:rsidP="009D4B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9D4BA2" w:rsidRPr="009D4BA2" w:rsidRDefault="009D4BA2" w:rsidP="009D4BA2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9D4BA2" w:rsidRPr="009D4BA2" w:rsidRDefault="009D4BA2" w:rsidP="009D4BA2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9D4BA2" w:rsidRDefault="009D4BA2" w:rsidP="009D4BA2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</w:pPr>
      <w:r w:rsidRPr="009D4BA2"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9D4BA2" w:rsidRDefault="009D4BA2" w:rsidP="009D4BA2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</w:pPr>
    </w:p>
    <w:p w:rsidR="009D4BA2" w:rsidRDefault="009D4BA2" w:rsidP="009D4BA2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</w:pPr>
    </w:p>
    <w:p w:rsidR="009D4BA2" w:rsidRPr="009D4BA2" w:rsidRDefault="009D4BA2" w:rsidP="009D4BA2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9D4BA2" w:rsidRPr="009D4BA2" w:rsidRDefault="009D4BA2" w:rsidP="009D4BA2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9D4BA2" w:rsidRPr="009D4BA2" w:rsidRDefault="009D4BA2" w:rsidP="009D4BA2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9D4BA2" w:rsidRPr="009D4BA2" w:rsidRDefault="009D4BA2" w:rsidP="009D4BA2">
      <w:pPr>
        <w:spacing w:after="0"/>
        <w:ind w:left="120"/>
      </w:pPr>
      <w:r w:rsidRPr="009D4BA2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3" w:name="4afdeebf-75fd-4414-ae94-ed25ad6ca259"/>
      <w:r w:rsidRPr="009D4BA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D4BA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D4BA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D4BA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D4BA2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bookmarkEnd w:id="3"/>
      <w:r w:rsidRPr="009D4BA2">
        <w:rPr>
          <w:rFonts w:ascii="Times New Roman" w:eastAsia="Times New Roman" w:hAnsi="Times New Roman" w:cs="Times New Roman"/>
          <w:b/>
          <w:color w:val="000000"/>
          <w:sz w:val="28"/>
        </w:rPr>
        <w:t>4‌</w:t>
      </w:r>
    </w:p>
    <w:p w:rsidR="005F3550" w:rsidRPr="009D4BA2" w:rsidRDefault="005F3550">
      <w:pPr>
        <w:spacing w:after="0"/>
        <w:ind w:left="120"/>
        <w:jc w:val="center"/>
      </w:pPr>
    </w:p>
    <w:p w:rsidR="005F3550" w:rsidRPr="009D4BA2" w:rsidRDefault="009D4BA2" w:rsidP="009D4BA2">
      <w:pPr>
        <w:spacing w:after="0" w:line="264" w:lineRule="auto"/>
        <w:ind w:left="120" w:firstLine="480"/>
        <w:jc w:val="both"/>
      </w:pPr>
      <w:bookmarkStart w:id="4" w:name="block-47302578"/>
      <w:bookmarkEnd w:id="0"/>
      <w:r w:rsidRPr="009D4B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F3550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D4BA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333333"/>
          <w:sz w:val="28"/>
        </w:rPr>
        <w:t xml:space="preserve">– </w:t>
      </w:r>
      <w:r w:rsidRPr="009D4BA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bookmarkStart w:id="5" w:name="9012e5c9-2e66-40e9-9799-caf6f2595164"/>
      <w:r w:rsidRPr="009D4BA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5F3550" w:rsidRPr="009D4BA2" w:rsidRDefault="005F3550">
      <w:pPr>
        <w:spacing w:after="0" w:line="264" w:lineRule="auto"/>
        <w:ind w:left="120"/>
        <w:jc w:val="both"/>
      </w:pPr>
    </w:p>
    <w:p w:rsidR="005F3550" w:rsidRPr="009D4BA2" w:rsidRDefault="005F3550">
      <w:pPr>
        <w:spacing w:after="0" w:line="264" w:lineRule="auto"/>
        <w:ind w:left="120"/>
        <w:jc w:val="both"/>
      </w:pPr>
    </w:p>
    <w:p w:rsidR="005F3550" w:rsidRPr="009D4BA2" w:rsidRDefault="005F3550">
      <w:pPr>
        <w:sectPr w:rsidR="005F3550" w:rsidRPr="009D4BA2">
          <w:pgSz w:w="11906" w:h="16383"/>
          <w:pgMar w:top="1134" w:right="850" w:bottom="1134" w:left="1701" w:header="720" w:footer="720" w:gutter="0"/>
          <w:cols w:space="720"/>
        </w:sectPr>
      </w:pPr>
    </w:p>
    <w:p w:rsidR="005F3550" w:rsidRPr="009D4BA2" w:rsidRDefault="009D4BA2" w:rsidP="009D4BA2">
      <w:pPr>
        <w:spacing w:after="0" w:line="264" w:lineRule="auto"/>
        <w:ind w:left="120" w:firstLine="480"/>
        <w:jc w:val="both"/>
      </w:pPr>
      <w:bookmarkStart w:id="6" w:name="block-47302579"/>
      <w:bookmarkEnd w:id="4"/>
      <w:r w:rsidRPr="009D4BA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8 КЛАСС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D4BA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D4BA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9D4BA2">
        <w:rPr>
          <w:rFonts w:ascii="Times New Roman" w:hAnsi="Times New Roman"/>
          <w:color w:val="000000"/>
          <w:sz w:val="28"/>
        </w:rPr>
        <w:t>).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D4BA2">
        <w:rPr>
          <w:rFonts w:ascii="Times New Roman" w:hAnsi="Times New Roman"/>
          <w:color w:val="000000"/>
          <w:sz w:val="28"/>
        </w:rPr>
        <w:t xml:space="preserve">Способы </w:t>
      </w:r>
      <w:r w:rsidRPr="009D4BA2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D4BA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D4BA2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D4BA2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5F3550" w:rsidRPr="009D4BA2" w:rsidRDefault="009D4BA2">
      <w:pPr>
        <w:spacing w:after="0" w:line="264" w:lineRule="auto"/>
        <w:ind w:firstLine="600"/>
        <w:jc w:val="both"/>
      </w:pPr>
      <w:proofErr w:type="spellStart"/>
      <w:r w:rsidRPr="009D4BA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D4BA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9 КЛАСС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F3550" w:rsidRPr="009D4BA2" w:rsidRDefault="009D4BA2">
      <w:pPr>
        <w:spacing w:after="0" w:line="264" w:lineRule="auto"/>
        <w:ind w:firstLine="600"/>
        <w:jc w:val="both"/>
      </w:pP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9D4BA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9D4BA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D4BA2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D4BA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D4BA2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D4BA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D4BA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D4BA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D4BA2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D4BA2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D4BA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D4BA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D4BA2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4BA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9D4BA2">
        <w:rPr>
          <w:rFonts w:ascii="Times New Roman" w:hAnsi="Times New Roman"/>
          <w:b/>
          <w:color w:val="000000"/>
          <w:sz w:val="28"/>
        </w:rPr>
        <w:t>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4BA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D4BA2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5F3550" w:rsidRPr="009D4BA2" w:rsidRDefault="009D4BA2">
      <w:pPr>
        <w:spacing w:after="0" w:line="264" w:lineRule="auto"/>
        <w:ind w:firstLine="600"/>
        <w:jc w:val="both"/>
      </w:pPr>
      <w:proofErr w:type="spellStart"/>
      <w:r w:rsidRPr="009D4BA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9D4BA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5F3550" w:rsidRPr="009D4BA2" w:rsidRDefault="005F3550">
      <w:pPr>
        <w:sectPr w:rsidR="005F3550" w:rsidRPr="009D4BA2">
          <w:pgSz w:w="11906" w:h="16383"/>
          <w:pgMar w:top="1134" w:right="850" w:bottom="1134" w:left="1701" w:header="720" w:footer="720" w:gutter="0"/>
          <w:cols w:space="720"/>
        </w:sectPr>
      </w:pPr>
    </w:p>
    <w:p w:rsidR="005F3550" w:rsidRPr="009D4BA2" w:rsidRDefault="009D4BA2">
      <w:pPr>
        <w:spacing w:after="0" w:line="264" w:lineRule="auto"/>
        <w:ind w:left="120"/>
        <w:jc w:val="both"/>
      </w:pPr>
      <w:bookmarkStart w:id="7" w:name="block-47302581"/>
      <w:bookmarkEnd w:id="6"/>
      <w:r w:rsidRPr="009D4B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F3550" w:rsidRPr="009D4BA2" w:rsidRDefault="005F3550">
      <w:pPr>
        <w:spacing w:after="0" w:line="264" w:lineRule="auto"/>
        <w:ind w:left="120"/>
        <w:jc w:val="both"/>
      </w:pP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1)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D4BA2">
        <w:rPr>
          <w:rFonts w:ascii="Times New Roman" w:hAnsi="Times New Roman"/>
          <w:color w:val="000000"/>
          <w:sz w:val="28"/>
        </w:rPr>
        <w:t>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2)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9D4BA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3)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9D4BA2">
        <w:rPr>
          <w:rFonts w:ascii="Times New Roman" w:hAnsi="Times New Roman"/>
          <w:color w:val="000000"/>
          <w:sz w:val="28"/>
        </w:rPr>
        <w:t>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D4BA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F3550" w:rsidRPr="009D4BA2" w:rsidRDefault="009D4BA2">
      <w:pPr>
        <w:spacing w:after="0" w:line="264" w:lineRule="auto"/>
        <w:ind w:firstLine="600"/>
        <w:jc w:val="both"/>
      </w:pPr>
      <w:bookmarkStart w:id="8" w:name="_Toc138318759"/>
      <w:bookmarkEnd w:id="8"/>
      <w:r w:rsidRPr="009D4BA2">
        <w:rPr>
          <w:rFonts w:ascii="Times New Roman" w:hAnsi="Times New Roman"/>
          <w:b/>
          <w:color w:val="000000"/>
          <w:sz w:val="28"/>
        </w:rPr>
        <w:t>4)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9D4BA2">
        <w:rPr>
          <w:rFonts w:ascii="Times New Roman" w:hAnsi="Times New Roman"/>
          <w:color w:val="000000"/>
          <w:sz w:val="28"/>
        </w:rPr>
        <w:t>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5)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6)</w:t>
      </w:r>
      <w:r w:rsidRPr="009D4BA2">
        <w:rPr>
          <w:rFonts w:ascii="Times New Roman" w:hAnsi="Times New Roman"/>
          <w:color w:val="000000"/>
          <w:sz w:val="28"/>
        </w:rPr>
        <w:t xml:space="preserve"> </w:t>
      </w:r>
      <w:r w:rsidRPr="009D4BA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D4BA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D4BA2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D4BA2">
        <w:rPr>
          <w:rFonts w:ascii="Times New Roman" w:hAnsi="Times New Roman"/>
          <w:color w:val="000000"/>
          <w:sz w:val="28"/>
        </w:rPr>
        <w:t>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D4BA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 концу обучения в</w:t>
      </w:r>
      <w:r w:rsidRPr="009D4BA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9D4BA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9D4BA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D4BA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F3550" w:rsidRPr="009D4BA2" w:rsidRDefault="009D4BA2">
      <w:pPr>
        <w:numPr>
          <w:ilvl w:val="0"/>
          <w:numId w:val="1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F3550" w:rsidRPr="009D4BA2" w:rsidRDefault="009D4BA2">
      <w:pPr>
        <w:spacing w:after="0" w:line="264" w:lineRule="auto"/>
        <w:ind w:firstLine="600"/>
        <w:jc w:val="both"/>
      </w:pPr>
      <w:r w:rsidRPr="009D4BA2">
        <w:rPr>
          <w:rFonts w:ascii="Times New Roman" w:hAnsi="Times New Roman"/>
          <w:color w:val="000000"/>
          <w:sz w:val="28"/>
        </w:rPr>
        <w:t>К концу обучения в</w:t>
      </w:r>
      <w:r w:rsidRPr="009D4BA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9D4BA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D4BA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9D4BA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D4BA2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D4BA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9D4BA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9D4BA2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F3550" w:rsidRPr="009D4BA2" w:rsidRDefault="009D4BA2">
      <w:pPr>
        <w:numPr>
          <w:ilvl w:val="0"/>
          <w:numId w:val="2"/>
        </w:numPr>
        <w:spacing w:after="0" w:line="264" w:lineRule="auto"/>
        <w:jc w:val="both"/>
      </w:pPr>
      <w:r w:rsidRPr="009D4BA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5F3550" w:rsidRPr="009D4BA2" w:rsidRDefault="005F3550">
      <w:pPr>
        <w:sectPr w:rsidR="005F3550" w:rsidRPr="009D4BA2">
          <w:pgSz w:w="11906" w:h="16383"/>
          <w:pgMar w:top="1134" w:right="850" w:bottom="1134" w:left="1701" w:header="720" w:footer="720" w:gutter="0"/>
          <w:cols w:space="720"/>
        </w:sectPr>
      </w:pPr>
    </w:p>
    <w:p w:rsidR="005F3550" w:rsidRDefault="009D4BA2">
      <w:pPr>
        <w:spacing w:after="0"/>
        <w:ind w:left="120"/>
      </w:pPr>
      <w:bookmarkStart w:id="11" w:name="block-47302576"/>
      <w:bookmarkEnd w:id="7"/>
      <w:r w:rsidRPr="009D4B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550" w:rsidRDefault="009D4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F35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F35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</w:tr>
      <w:tr w:rsidR="005F35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 w:rsidRPr="009D4B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proofErr w:type="spellStart"/>
            <w:r w:rsidRPr="009D4BA2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9D4BA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9D4BA2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</w:tbl>
    <w:p w:rsidR="005F3550" w:rsidRDefault="005F3550">
      <w:pPr>
        <w:sectPr w:rsidR="005F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550" w:rsidRDefault="009D4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706"/>
        <w:gridCol w:w="1775"/>
        <w:gridCol w:w="3291"/>
      </w:tblGrid>
      <w:tr w:rsidR="005F3550" w:rsidTr="009D4BA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4BA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72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  <w:tr w:rsidR="005F3550" w:rsidRPr="009D4BA2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5F3550" w:rsidTr="009D4B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</w:tbl>
    <w:p w:rsidR="005F3550" w:rsidRDefault="005F3550">
      <w:pPr>
        <w:sectPr w:rsidR="005F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550" w:rsidRDefault="005F3550">
      <w:pPr>
        <w:sectPr w:rsidR="005F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550" w:rsidRDefault="009D4BA2">
      <w:pPr>
        <w:spacing w:after="0"/>
        <w:ind w:left="120"/>
      </w:pPr>
      <w:bookmarkStart w:id="12" w:name="block-473025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550" w:rsidRDefault="009D4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708"/>
        <w:gridCol w:w="1418"/>
        <w:gridCol w:w="1510"/>
        <w:gridCol w:w="900"/>
        <w:gridCol w:w="3308"/>
      </w:tblGrid>
      <w:tr w:rsidR="005F3550" w:rsidTr="0085753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3636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9D4BA2" w:rsidTr="0085753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понятие о термохимическом уравнении, экзо- и 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>эндотермических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proofErr w:type="spellStart"/>
            <w:r w:rsidRPr="009D4BA2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BA2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</w:tbl>
    <w:p w:rsidR="005F3550" w:rsidRDefault="005F3550">
      <w:pPr>
        <w:sectPr w:rsidR="005F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550" w:rsidRDefault="009D4B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708"/>
        <w:gridCol w:w="1418"/>
        <w:gridCol w:w="1510"/>
        <w:gridCol w:w="900"/>
        <w:gridCol w:w="3308"/>
      </w:tblGrid>
      <w:tr w:rsidR="005F3550" w:rsidTr="0085753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550" w:rsidRDefault="005F3550">
            <w:pPr>
              <w:spacing w:after="0"/>
              <w:ind w:left="135"/>
            </w:pPr>
          </w:p>
        </w:tc>
        <w:tc>
          <w:tcPr>
            <w:tcW w:w="3636" w:type="dxa"/>
            <w:gridSpan w:val="3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5F3550" w:rsidTr="00857538">
        <w:trPr>
          <w:trHeight w:val="69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9D4B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550" w:rsidRDefault="005F3550"/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9D4BA2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857538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 w:rsidRPr="00857538"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857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proofErr w:type="spellStart"/>
            <w:r w:rsidRPr="009D4BA2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9D4BA2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Сероводород, строение, физические и химические 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857538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857538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857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857538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 w:rsidRPr="00857538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857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857538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 w:rsidRPr="00857538"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8575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природе, физические и 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857538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</w:t>
            </w:r>
            <w:r w:rsidRPr="009D4B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содержит примеси. </w:t>
            </w:r>
            <w:r w:rsidRPr="00857538"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8575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Default="009D4BA2" w:rsidP="0085753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3550" w:rsidRPr="009D4BA2" w:rsidTr="0085753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 w:rsidP="00857538">
            <w:pPr>
              <w:spacing w:after="0"/>
            </w:pPr>
            <w:bookmarkStart w:id="13" w:name="_GoBack"/>
            <w:bookmarkEnd w:id="13"/>
            <w:r w:rsidRPr="009D4BA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5F3550" w:rsidRDefault="005F3550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B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4B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3550" w:rsidTr="0085753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F3550" w:rsidRPr="009D4BA2" w:rsidRDefault="009D4BA2">
            <w:pPr>
              <w:spacing w:after="0"/>
              <w:ind w:left="135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 w:rsidRPr="009D4B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550" w:rsidRDefault="009D4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5F3550" w:rsidRDefault="005F3550"/>
        </w:tc>
      </w:tr>
    </w:tbl>
    <w:p w:rsidR="005F3550" w:rsidRDefault="005F3550">
      <w:pPr>
        <w:sectPr w:rsidR="005F3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550" w:rsidRPr="009D4BA2" w:rsidRDefault="009D4BA2">
      <w:pPr>
        <w:spacing w:after="0"/>
        <w:ind w:left="120"/>
      </w:pPr>
      <w:bookmarkStart w:id="14" w:name="block-47302582"/>
      <w:bookmarkEnd w:id="12"/>
      <w:r w:rsidRPr="009D4B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550" w:rsidRDefault="009D4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550" w:rsidRDefault="005F3550">
      <w:pPr>
        <w:spacing w:after="0" w:line="480" w:lineRule="auto"/>
        <w:ind w:left="120"/>
      </w:pPr>
    </w:p>
    <w:p w:rsidR="005F3550" w:rsidRDefault="005F3550">
      <w:pPr>
        <w:spacing w:after="0" w:line="480" w:lineRule="auto"/>
        <w:ind w:left="120"/>
      </w:pPr>
    </w:p>
    <w:p w:rsidR="005F3550" w:rsidRDefault="005F3550">
      <w:pPr>
        <w:spacing w:after="0"/>
        <w:ind w:left="120"/>
      </w:pPr>
    </w:p>
    <w:p w:rsidR="005F3550" w:rsidRDefault="009D4B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550" w:rsidRDefault="005F3550">
      <w:pPr>
        <w:spacing w:after="0" w:line="480" w:lineRule="auto"/>
        <w:ind w:left="120"/>
      </w:pPr>
    </w:p>
    <w:p w:rsidR="005F3550" w:rsidRDefault="005F3550">
      <w:pPr>
        <w:spacing w:after="0"/>
        <w:ind w:left="120"/>
      </w:pPr>
    </w:p>
    <w:p w:rsidR="009D4BA2" w:rsidRPr="009D4BA2" w:rsidRDefault="009D4BA2" w:rsidP="009D4BA2">
      <w:pPr>
        <w:spacing w:after="0" w:line="480" w:lineRule="auto"/>
        <w:ind w:left="120"/>
      </w:pPr>
      <w:r w:rsidRPr="009D4B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4"/>
    </w:p>
    <w:sectPr w:rsidR="009D4BA2" w:rsidRPr="009D4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74C2"/>
    <w:multiLevelType w:val="multilevel"/>
    <w:tmpl w:val="193A3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278C5"/>
    <w:multiLevelType w:val="multilevel"/>
    <w:tmpl w:val="DD106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50"/>
    <w:rsid w:val="005F3550"/>
    <w:rsid w:val="00857538"/>
    <w:rsid w:val="009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10493</Words>
  <Characters>59816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2024-10-10T10:27:00Z</dcterms:created>
  <dcterms:modified xsi:type="dcterms:W3CDTF">2024-10-10T10:27:00Z</dcterms:modified>
</cp:coreProperties>
</file>